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AD" w:rsidRPr="00C56B28" w:rsidRDefault="002054AD" w:rsidP="002054AD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C56B28">
        <w:rPr>
          <w:rFonts w:ascii="Arial" w:hAnsi="Arial" w:cs="Arial"/>
          <w:bCs/>
          <w:spacing w:val="-3"/>
          <w:sz w:val="22"/>
          <w:szCs w:val="22"/>
        </w:rPr>
        <w:t>The Townsville Futures Plan (</w:t>
      </w:r>
      <w:r>
        <w:rPr>
          <w:rFonts w:ascii="Arial" w:hAnsi="Arial" w:cs="Arial"/>
          <w:bCs/>
          <w:spacing w:val="-3"/>
          <w:sz w:val="22"/>
          <w:szCs w:val="22"/>
        </w:rPr>
        <w:t>the Plan</w:t>
      </w:r>
      <w:r w:rsidRPr="00C56B28">
        <w:rPr>
          <w:rFonts w:ascii="Arial" w:hAnsi="Arial" w:cs="Arial"/>
          <w:bCs/>
          <w:spacing w:val="-3"/>
          <w:sz w:val="22"/>
          <w:szCs w:val="22"/>
        </w:rPr>
        <w:t xml:space="preserve">) </w:t>
      </w:r>
      <w:r w:rsidRPr="00C56B28">
        <w:rPr>
          <w:rFonts w:ascii="Arial" w:hAnsi="Arial" w:cs="Arial"/>
          <w:sz w:val="22"/>
          <w:szCs w:val="22"/>
        </w:rPr>
        <w:t>is intended to support regional growth and economic development in Townsville.  It is an over-arching plan for Townsville and the region that is prosperity led and includes cues to promote liveability and sustainability.</w:t>
      </w:r>
    </w:p>
    <w:p w:rsidR="002054AD" w:rsidRPr="00C56B28" w:rsidRDefault="002054AD" w:rsidP="002054AD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Townsville Futures Plan has its origins in the 2010 Growth Management Summit. </w:t>
      </w:r>
    </w:p>
    <w:p w:rsidR="006310B9" w:rsidRPr="006310B9" w:rsidRDefault="006310B9" w:rsidP="002054AD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56B28">
        <w:rPr>
          <w:rFonts w:ascii="Arial" w:hAnsi="Arial" w:cs="Arial"/>
          <w:sz w:val="22"/>
          <w:szCs w:val="22"/>
        </w:rPr>
        <w:t>The preparation of the TFP</w:t>
      </w:r>
      <w:r>
        <w:rPr>
          <w:rFonts w:ascii="Arial" w:hAnsi="Arial" w:cs="Arial"/>
          <w:sz w:val="22"/>
          <w:szCs w:val="22"/>
        </w:rPr>
        <w:t>, and the identification of regional ‘turbochargers’,</w:t>
      </w:r>
      <w:r w:rsidRPr="00C56B28">
        <w:rPr>
          <w:rFonts w:ascii="Arial" w:hAnsi="Arial" w:cs="Arial"/>
          <w:sz w:val="22"/>
          <w:szCs w:val="22"/>
        </w:rPr>
        <w:t xml:space="preserve"> has been </w:t>
      </w:r>
      <w:r w:rsidRPr="00486AF0">
        <w:rPr>
          <w:rFonts w:ascii="Arial" w:hAnsi="Arial" w:cs="Arial"/>
          <w:sz w:val="22"/>
          <w:szCs w:val="22"/>
        </w:rPr>
        <w:t>overseen by a Taskforce which consists of leaders from local government, regional development bodies, business groups, education and Defence.</w:t>
      </w:r>
    </w:p>
    <w:p w:rsidR="002054AD" w:rsidRPr="00B61BAE" w:rsidRDefault="002054AD" w:rsidP="002054AD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56B28">
        <w:rPr>
          <w:rFonts w:ascii="Arial" w:hAnsi="Arial" w:cs="Arial"/>
          <w:sz w:val="22"/>
          <w:szCs w:val="22"/>
        </w:rPr>
        <w:t xml:space="preserve">The TFP </w:t>
      </w:r>
      <w:r w:rsidR="006310B9">
        <w:rPr>
          <w:rFonts w:ascii="Arial" w:hAnsi="Arial" w:cs="Arial"/>
          <w:sz w:val="22"/>
          <w:szCs w:val="22"/>
        </w:rPr>
        <w:t>was then</w:t>
      </w:r>
      <w:r w:rsidRPr="00C56B28">
        <w:rPr>
          <w:rFonts w:ascii="Arial" w:hAnsi="Arial" w:cs="Arial"/>
          <w:sz w:val="22"/>
          <w:szCs w:val="22"/>
        </w:rPr>
        <w:t xml:space="preserve"> prepared </w:t>
      </w:r>
      <w:r w:rsidR="006310B9">
        <w:rPr>
          <w:rFonts w:ascii="Arial" w:hAnsi="Arial" w:cs="Arial"/>
          <w:sz w:val="22"/>
          <w:szCs w:val="22"/>
        </w:rPr>
        <w:t xml:space="preserve">for the Taskforce </w:t>
      </w:r>
      <w:r w:rsidRPr="00C56B28">
        <w:rPr>
          <w:rFonts w:ascii="Arial" w:hAnsi="Arial" w:cs="Arial"/>
          <w:sz w:val="22"/>
          <w:szCs w:val="22"/>
        </w:rPr>
        <w:t>by Growth Management Queensland (GMQ)</w:t>
      </w:r>
      <w:r w:rsidR="00B44032">
        <w:rPr>
          <w:rFonts w:ascii="Arial" w:hAnsi="Arial" w:cs="Arial"/>
          <w:sz w:val="22"/>
          <w:szCs w:val="22"/>
        </w:rPr>
        <w:t>, Department of Local Government and Planning</w:t>
      </w:r>
      <w:r w:rsidRPr="00C56B28">
        <w:rPr>
          <w:rFonts w:ascii="Arial" w:hAnsi="Arial" w:cs="Arial"/>
          <w:sz w:val="22"/>
          <w:szCs w:val="22"/>
        </w:rPr>
        <w:t xml:space="preserve">, assisted by the Department of Employment, Economic Development and Innovation (DEEDI), and in partnership with </w:t>
      </w:r>
      <w:r w:rsidR="002A5890">
        <w:rPr>
          <w:rFonts w:ascii="Arial" w:hAnsi="Arial" w:cs="Arial"/>
          <w:sz w:val="22"/>
          <w:szCs w:val="22"/>
        </w:rPr>
        <w:t xml:space="preserve">the </w:t>
      </w:r>
      <w:r w:rsidRPr="00C56B28">
        <w:rPr>
          <w:rFonts w:ascii="Arial" w:hAnsi="Arial" w:cs="Arial"/>
          <w:sz w:val="22"/>
          <w:szCs w:val="22"/>
        </w:rPr>
        <w:t xml:space="preserve">Townsville City Council.  </w:t>
      </w:r>
    </w:p>
    <w:p w:rsidR="002054AD" w:rsidRPr="00C56B28" w:rsidRDefault="002054AD" w:rsidP="002054AD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56B28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>Townsville Futures Plan</w:t>
      </w:r>
      <w:r w:rsidRPr="00C56B28">
        <w:rPr>
          <w:rFonts w:ascii="Arial" w:hAnsi="Arial" w:cs="Arial"/>
          <w:bCs/>
          <w:spacing w:val="-3"/>
          <w:sz w:val="22"/>
          <w:szCs w:val="22"/>
        </w:rPr>
        <w:t xml:space="preserve"> aligns closely with the </w:t>
      </w:r>
      <w:r w:rsidRPr="00C56B28">
        <w:rPr>
          <w:rFonts w:ascii="Arial" w:hAnsi="Arial" w:cs="Arial"/>
          <w:sz w:val="22"/>
          <w:szCs w:val="22"/>
        </w:rPr>
        <w:t xml:space="preserve">Queensland Regionalisation Strategy (QRS), by providing strategies and actions that cater for accelerated growth in Townsville and the surrounding region, using the principles of the QRS.  The </w:t>
      </w:r>
      <w:r>
        <w:rPr>
          <w:rFonts w:ascii="Arial" w:hAnsi="Arial" w:cs="Arial"/>
          <w:sz w:val="22"/>
          <w:szCs w:val="22"/>
        </w:rPr>
        <w:t>Plan</w:t>
      </w:r>
      <w:r w:rsidRPr="00C56B28">
        <w:rPr>
          <w:rFonts w:ascii="Arial" w:hAnsi="Arial" w:cs="Arial"/>
          <w:sz w:val="22"/>
          <w:szCs w:val="22"/>
        </w:rPr>
        <w:t xml:space="preserve"> will provide a regional account of the strategic directions within the context of achieving the vision of Townsville as a ‘second capital’.  The </w:t>
      </w:r>
      <w:r>
        <w:rPr>
          <w:rFonts w:ascii="Arial" w:hAnsi="Arial" w:cs="Arial"/>
          <w:sz w:val="22"/>
          <w:szCs w:val="22"/>
        </w:rPr>
        <w:t>Plan</w:t>
      </w:r>
      <w:r w:rsidRPr="00C56B28">
        <w:rPr>
          <w:rFonts w:ascii="Arial" w:hAnsi="Arial" w:cs="Arial"/>
          <w:sz w:val="22"/>
          <w:szCs w:val="22"/>
        </w:rPr>
        <w:t xml:space="preserve"> will also provide a basis to help inform the Queensland Infrastructure Plan by helping to determine infrastructure priorities. </w:t>
      </w:r>
    </w:p>
    <w:p w:rsidR="002054AD" w:rsidRPr="00486AF0" w:rsidRDefault="002054AD" w:rsidP="002054AD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Townsville Futures Plan</w:t>
      </w:r>
      <w:r w:rsidRPr="00486AF0">
        <w:rPr>
          <w:rFonts w:ascii="Arial" w:hAnsi="Arial" w:cs="Arial"/>
          <w:sz w:val="22"/>
          <w:szCs w:val="22"/>
        </w:rPr>
        <w:t xml:space="preserve"> identifies a range of opportunities, strategies and associated actions </w:t>
      </w:r>
      <w:r>
        <w:rPr>
          <w:rFonts w:ascii="Arial" w:hAnsi="Arial" w:cs="Arial"/>
          <w:sz w:val="22"/>
          <w:szCs w:val="22"/>
        </w:rPr>
        <w:t>that aim to</w:t>
      </w:r>
      <w:r w:rsidRPr="00486AF0">
        <w:rPr>
          <w:rFonts w:ascii="Arial" w:hAnsi="Arial" w:cs="Arial"/>
          <w:sz w:val="22"/>
          <w:szCs w:val="22"/>
        </w:rPr>
        <w:t xml:space="preserve"> enhance the competitive position of Townsville and the area within its reach, and </w:t>
      </w:r>
      <w:r>
        <w:rPr>
          <w:rFonts w:ascii="Arial" w:hAnsi="Arial" w:cs="Arial"/>
          <w:sz w:val="22"/>
          <w:szCs w:val="22"/>
        </w:rPr>
        <w:t>a</w:t>
      </w:r>
      <w:r w:rsidRPr="00486AF0">
        <w:rPr>
          <w:rFonts w:ascii="Arial" w:hAnsi="Arial" w:cs="Arial"/>
          <w:sz w:val="22"/>
          <w:szCs w:val="22"/>
        </w:rPr>
        <w:t xml:space="preserve">chieve well planned and managed population growth. </w:t>
      </w:r>
    </w:p>
    <w:p w:rsidR="00B44032" w:rsidRPr="00BD47CE" w:rsidRDefault="002054AD" w:rsidP="00B44032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Taskforce members identified six ‘Turbochargers’ which are projects they agree will provide the greatest impact and benefit towards achieving accelerated growth in the </w:t>
      </w:r>
      <w:r w:rsidRPr="00BD47CE">
        <w:rPr>
          <w:rFonts w:ascii="Arial" w:hAnsi="Arial" w:cs="Arial"/>
          <w:sz w:val="22"/>
          <w:szCs w:val="22"/>
        </w:rPr>
        <w:t xml:space="preserve">Townsville region. Turbochargers are: </w:t>
      </w:r>
    </w:p>
    <w:p w:rsidR="00BD47CE" w:rsidRPr="00BD47CE" w:rsidRDefault="00BD47CE" w:rsidP="00B44032">
      <w:pPr>
        <w:pStyle w:val="PortfolioBullet"/>
        <w:numPr>
          <w:ilvl w:val="1"/>
          <w:numId w:val="6"/>
        </w:numPr>
        <w:spacing w:before="120" w:after="120"/>
        <w:ind w:left="1434" w:hanging="357"/>
        <w:rPr>
          <w:color w:val="000000"/>
          <w:szCs w:val="24"/>
        </w:rPr>
      </w:pPr>
      <w:r w:rsidRPr="00BD47CE">
        <w:rPr>
          <w:color w:val="000000"/>
          <w:szCs w:val="24"/>
        </w:rPr>
        <w:t>National Broadband Network roll-out</w:t>
      </w:r>
    </w:p>
    <w:p w:rsidR="00BD47CE" w:rsidRPr="00BD47CE" w:rsidRDefault="00BD47CE" w:rsidP="00B44032">
      <w:pPr>
        <w:pStyle w:val="PortfolioBullet"/>
        <w:numPr>
          <w:ilvl w:val="1"/>
          <w:numId w:val="6"/>
        </w:numPr>
        <w:spacing w:after="120"/>
        <w:ind w:left="1434" w:hanging="357"/>
        <w:rPr>
          <w:color w:val="000000"/>
          <w:szCs w:val="24"/>
        </w:rPr>
      </w:pPr>
      <w:r w:rsidRPr="00BD47CE">
        <w:rPr>
          <w:color w:val="000000"/>
          <w:szCs w:val="24"/>
        </w:rPr>
        <w:t xml:space="preserve">Activation of the </w:t>
      </w:r>
      <w:smartTag w:uri="urn:schemas-microsoft-com:office:smarttags" w:element="place">
        <w:smartTag w:uri="urn:schemas-microsoft-com:office:smarttags" w:element="PlaceName">
          <w:r w:rsidRPr="00BD47CE">
            <w:rPr>
              <w:color w:val="000000"/>
              <w:szCs w:val="24"/>
            </w:rPr>
            <w:t>Townsville</w:t>
          </w:r>
        </w:smartTag>
        <w:r w:rsidRPr="00BD47CE">
          <w:rPr>
            <w:color w:val="000000"/>
            <w:szCs w:val="24"/>
          </w:rPr>
          <w:t xml:space="preserve"> </w:t>
        </w:r>
        <w:smartTag w:uri="urn:schemas-microsoft-com:office:smarttags" w:element="PlaceType">
          <w:r w:rsidRPr="00BD47CE">
            <w:rPr>
              <w:color w:val="000000"/>
              <w:szCs w:val="24"/>
            </w:rPr>
            <w:t>State</w:t>
          </w:r>
        </w:smartTag>
      </w:smartTag>
      <w:r w:rsidRPr="00BD47CE">
        <w:rPr>
          <w:color w:val="000000"/>
          <w:szCs w:val="24"/>
        </w:rPr>
        <w:t xml:space="preserve"> Development Area</w:t>
      </w:r>
    </w:p>
    <w:p w:rsidR="00BD47CE" w:rsidRPr="00BD47CE" w:rsidRDefault="00BD47CE" w:rsidP="00B44032">
      <w:pPr>
        <w:pStyle w:val="PortfolioBullet"/>
        <w:numPr>
          <w:ilvl w:val="1"/>
          <w:numId w:val="6"/>
        </w:numPr>
        <w:spacing w:after="120"/>
        <w:ind w:left="1434" w:hanging="357"/>
        <w:rPr>
          <w:color w:val="000000"/>
          <w:szCs w:val="24"/>
        </w:rPr>
      </w:pPr>
      <w:r w:rsidRPr="00BD47CE">
        <w:rPr>
          <w:color w:val="000000"/>
          <w:szCs w:val="24"/>
        </w:rPr>
        <w:t xml:space="preserve">Establishment of a </w:t>
      </w:r>
      <w:smartTag w:uri="urn:schemas-microsoft-com:office:smarttags" w:element="place">
        <w:r w:rsidRPr="00BD47CE">
          <w:rPr>
            <w:color w:val="000000"/>
            <w:szCs w:val="24"/>
          </w:rPr>
          <w:t>Northern Queensland</w:t>
        </w:r>
      </w:smartTag>
      <w:r w:rsidRPr="00BD47CE">
        <w:rPr>
          <w:color w:val="000000"/>
          <w:szCs w:val="24"/>
        </w:rPr>
        <w:t xml:space="preserve"> Defence Hub</w:t>
      </w:r>
    </w:p>
    <w:p w:rsidR="00BD47CE" w:rsidRPr="00BD47CE" w:rsidRDefault="00BD47CE" w:rsidP="00B44032">
      <w:pPr>
        <w:pStyle w:val="PortfolioBullet"/>
        <w:numPr>
          <w:ilvl w:val="1"/>
          <w:numId w:val="6"/>
        </w:numPr>
        <w:spacing w:after="120"/>
        <w:ind w:left="1434" w:hanging="357"/>
        <w:rPr>
          <w:color w:val="000000"/>
          <w:szCs w:val="24"/>
        </w:rPr>
      </w:pPr>
      <w:r w:rsidRPr="00BD47CE">
        <w:rPr>
          <w:color w:val="000000"/>
          <w:szCs w:val="24"/>
        </w:rPr>
        <w:t xml:space="preserve">Development of the Douglas Knowledge Precinct </w:t>
      </w:r>
    </w:p>
    <w:p w:rsidR="00BD47CE" w:rsidRPr="00BD47CE" w:rsidRDefault="00BD47CE" w:rsidP="00B44032">
      <w:pPr>
        <w:pStyle w:val="PortfolioBullet"/>
        <w:numPr>
          <w:ilvl w:val="1"/>
          <w:numId w:val="6"/>
        </w:numPr>
        <w:spacing w:after="120"/>
        <w:ind w:left="1434" w:hanging="357"/>
        <w:rPr>
          <w:color w:val="000000"/>
          <w:szCs w:val="24"/>
        </w:rPr>
      </w:pPr>
      <w:r w:rsidRPr="00BD47CE">
        <w:rPr>
          <w:color w:val="000000"/>
          <w:szCs w:val="24"/>
        </w:rPr>
        <w:t>Decentralisation and consolidation of government services and staff to the Townsville CBD (other than where precluded for operational reasons)</w:t>
      </w:r>
    </w:p>
    <w:p w:rsidR="00BD47CE" w:rsidRPr="00BD47CE" w:rsidRDefault="00BD47CE" w:rsidP="00B44032">
      <w:pPr>
        <w:pStyle w:val="PortfolioBullet"/>
        <w:numPr>
          <w:ilvl w:val="1"/>
          <w:numId w:val="6"/>
        </w:numPr>
        <w:spacing w:after="120"/>
        <w:ind w:left="1434" w:hanging="357"/>
        <w:rPr>
          <w:color w:val="000000"/>
          <w:szCs w:val="24"/>
        </w:rPr>
      </w:pPr>
      <w:r w:rsidRPr="00BD47CE">
        <w:rPr>
          <w:color w:val="000000"/>
          <w:szCs w:val="24"/>
        </w:rPr>
        <w:t>Investigate the establishment of a Northern Queensland Convention Centre for Townsville</w:t>
      </w:r>
      <w:r w:rsidR="006310B9">
        <w:rPr>
          <w:color w:val="000000"/>
          <w:szCs w:val="24"/>
        </w:rPr>
        <w:t>.</w:t>
      </w:r>
    </w:p>
    <w:p w:rsidR="002054AD" w:rsidRPr="00486AF0" w:rsidRDefault="002054AD" w:rsidP="002054AD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BD47CE">
        <w:rPr>
          <w:rFonts w:ascii="Arial" w:hAnsi="Arial" w:cs="Arial"/>
          <w:sz w:val="22"/>
          <w:szCs w:val="22"/>
        </w:rPr>
        <w:t>This Plan seeks input from the community on the vision for Townsville as a second</w:t>
      </w:r>
      <w:r w:rsidRPr="00486AF0">
        <w:rPr>
          <w:rFonts w:ascii="Arial" w:hAnsi="Arial" w:cs="Arial"/>
          <w:sz w:val="22"/>
          <w:szCs w:val="22"/>
        </w:rPr>
        <w:t xml:space="preserve"> capital and a prioritisation of actions to support future opportunities for growth. </w:t>
      </w:r>
    </w:p>
    <w:p w:rsidR="002054AD" w:rsidRPr="00CE6FBA" w:rsidRDefault="002054AD" w:rsidP="002054AD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A5890">
        <w:rPr>
          <w:rFonts w:ascii="Arial" w:hAnsi="Arial" w:cs="Arial"/>
          <w:bCs/>
          <w:spacing w:val="-3"/>
          <w:sz w:val="22"/>
          <w:szCs w:val="22"/>
          <w:u w:val="single"/>
        </w:rPr>
        <w:t>Cabinet endorse</w:t>
      </w:r>
      <w:r w:rsidR="00B44032" w:rsidRPr="002A5890">
        <w:rPr>
          <w:rFonts w:ascii="Arial" w:hAnsi="Arial" w:cs="Arial"/>
          <w:bCs/>
          <w:spacing w:val="-3"/>
          <w:sz w:val="22"/>
          <w:szCs w:val="22"/>
          <w:u w:val="single"/>
        </w:rPr>
        <w:t>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public release of the Townsville Futures Plan consultation draft. </w:t>
      </w:r>
    </w:p>
    <w:p w:rsidR="002054AD" w:rsidRPr="00C07656" w:rsidRDefault="002054AD" w:rsidP="002054AD">
      <w:pPr>
        <w:jc w:val="both"/>
        <w:rPr>
          <w:rFonts w:ascii="Arial" w:hAnsi="Arial" w:cs="Arial"/>
          <w:sz w:val="22"/>
          <w:szCs w:val="22"/>
        </w:rPr>
      </w:pPr>
    </w:p>
    <w:p w:rsidR="002054AD" w:rsidRPr="00C07656" w:rsidRDefault="002054AD" w:rsidP="00F4184D">
      <w:pPr>
        <w:keepNext/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347DAE" w:rsidRDefault="00823397" w:rsidP="00BD47CE">
      <w:pPr>
        <w:numPr>
          <w:ilvl w:val="0"/>
          <w:numId w:val="3"/>
        </w:numPr>
        <w:tabs>
          <w:tab w:val="num" w:pos="280"/>
        </w:tabs>
        <w:spacing w:before="120"/>
        <w:ind w:left="811"/>
        <w:jc w:val="both"/>
      </w:pPr>
      <w:hyperlink r:id="rId7" w:history="1">
        <w:r w:rsidR="002054AD" w:rsidRPr="000B7639">
          <w:rPr>
            <w:rStyle w:val="Hyperlink"/>
            <w:rFonts w:ascii="Arial" w:hAnsi="Arial" w:cs="Arial"/>
            <w:sz w:val="22"/>
            <w:szCs w:val="22"/>
          </w:rPr>
          <w:t>Townsville Futures Plan consultation draft</w:t>
        </w:r>
      </w:hyperlink>
      <w:r w:rsidR="002054AD">
        <w:rPr>
          <w:rFonts w:ascii="Arial" w:hAnsi="Arial" w:cs="Arial"/>
          <w:sz w:val="22"/>
          <w:szCs w:val="22"/>
        </w:rPr>
        <w:t xml:space="preserve">. </w:t>
      </w:r>
    </w:p>
    <w:sectPr w:rsidR="00347DAE" w:rsidSect="00472E9F">
      <w:headerReference w:type="default" r:id="rId8"/>
      <w:pgSz w:w="11906" w:h="16838" w:code="9"/>
      <w:pgMar w:top="1985" w:right="1418" w:bottom="851" w:left="1418" w:header="851" w:footer="396" w:gutter="0"/>
      <w:paperSrc w:first="15" w:other="15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F9A" w:rsidRDefault="00560F9A">
      <w:r>
        <w:separator/>
      </w:r>
    </w:p>
  </w:endnote>
  <w:endnote w:type="continuationSeparator" w:id="0">
    <w:p w:rsidR="00560F9A" w:rsidRDefault="0056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F9A" w:rsidRDefault="00560F9A">
      <w:r>
        <w:separator/>
      </w:r>
    </w:p>
  </w:footnote>
  <w:footnote w:type="continuationSeparator" w:id="0">
    <w:p w:rsidR="00560F9A" w:rsidRDefault="00560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84D" w:rsidRPr="00341655" w:rsidRDefault="009D3EEA" w:rsidP="002A5890">
    <w:pPr>
      <w:pStyle w:val="Header"/>
      <w:ind w:firstLine="288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  <w:u w:val="singl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-184785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184D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8462E4">
      <w:rPr>
        <w:rFonts w:ascii="Arial" w:hAnsi="Arial" w:cs="Arial"/>
        <w:b/>
        <w:sz w:val="22"/>
        <w:szCs w:val="22"/>
        <w:u w:val="single"/>
      </w:rPr>
      <w:t>April</w:t>
    </w:r>
    <w:r w:rsidR="00F4184D">
      <w:rPr>
        <w:rFonts w:ascii="Arial" w:hAnsi="Arial" w:cs="Arial"/>
        <w:b/>
        <w:sz w:val="22"/>
        <w:szCs w:val="22"/>
        <w:u w:val="single"/>
      </w:rPr>
      <w:t xml:space="preserve"> 2011</w:t>
    </w:r>
  </w:p>
  <w:p w:rsidR="00F4184D" w:rsidRDefault="00F4184D" w:rsidP="002A589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</w:p>
  <w:p w:rsidR="00F4184D" w:rsidRDefault="00F4184D" w:rsidP="002A589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Draft Townsville Futures Plan</w:t>
    </w:r>
  </w:p>
  <w:p w:rsidR="00F4184D" w:rsidRDefault="00F4184D" w:rsidP="002A589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Deputy Premier and Attorney-General, Minister for Local Government and Special Minister of State</w:t>
    </w:r>
  </w:p>
  <w:p w:rsidR="00F4184D" w:rsidRDefault="00F4184D" w:rsidP="002A5890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53F5"/>
    <w:multiLevelType w:val="multilevel"/>
    <w:tmpl w:val="CE2E3354"/>
    <w:lvl w:ilvl="0">
      <w:start w:val="1"/>
      <w:numFmt w:val="bullet"/>
      <w:pStyle w:val="Portfolio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Portfolio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Portfolio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1"/>
        </w:tabs>
        <w:ind w:left="4321" w:hanging="72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1"/>
        </w:tabs>
        <w:ind w:left="5761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1"/>
        </w:tabs>
        <w:ind w:left="6481" w:hanging="720"/>
      </w:pPr>
      <w:rPr>
        <w:rFonts w:ascii="Symbol" w:hAnsi="Symbol" w:hint="default"/>
      </w:rPr>
    </w:lvl>
  </w:abstractNum>
  <w:abstractNum w:abstractNumId="1" w15:restartNumberingAfterBreak="0">
    <w:nsid w:val="257709E9"/>
    <w:multiLevelType w:val="hybridMultilevel"/>
    <w:tmpl w:val="29C021CE"/>
    <w:lvl w:ilvl="0" w:tplc="5D2E14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</w:rPr>
    </w:lvl>
    <w:lvl w:ilvl="2" w:tplc="46FEF44A">
      <w:start w:val="1"/>
      <w:numFmt w:val="lowerLetter"/>
      <w:lvlText w:val="(%3)"/>
      <w:lvlJc w:val="left"/>
      <w:pPr>
        <w:tabs>
          <w:tab w:val="num" w:pos="1620"/>
        </w:tabs>
        <w:ind w:left="1980" w:hanging="360"/>
      </w:pPr>
      <w:rPr>
        <w:rFonts w:cs="Times New Roman" w:hint="default"/>
        <w:b w:val="0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D21407D"/>
    <w:multiLevelType w:val="hybridMultilevel"/>
    <w:tmpl w:val="53DE050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6029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2720A0"/>
    <w:multiLevelType w:val="hybridMultilevel"/>
    <w:tmpl w:val="5BB23E60"/>
    <w:lvl w:ilvl="0" w:tplc="CA2A68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AD"/>
    <w:rsid w:val="000B7639"/>
    <w:rsid w:val="001C54EE"/>
    <w:rsid w:val="001E06C3"/>
    <w:rsid w:val="001E10D9"/>
    <w:rsid w:val="002054AD"/>
    <w:rsid w:val="002A5890"/>
    <w:rsid w:val="002F1FA7"/>
    <w:rsid w:val="00347DAE"/>
    <w:rsid w:val="00387915"/>
    <w:rsid w:val="00457BDC"/>
    <w:rsid w:val="00472E9F"/>
    <w:rsid w:val="004A4AF9"/>
    <w:rsid w:val="004E4256"/>
    <w:rsid w:val="00560F9A"/>
    <w:rsid w:val="005700CE"/>
    <w:rsid w:val="006310B9"/>
    <w:rsid w:val="007C205A"/>
    <w:rsid w:val="00823397"/>
    <w:rsid w:val="008462E4"/>
    <w:rsid w:val="008A30FC"/>
    <w:rsid w:val="008B3D24"/>
    <w:rsid w:val="00936D47"/>
    <w:rsid w:val="009C4B97"/>
    <w:rsid w:val="009D3EEA"/>
    <w:rsid w:val="00A93DC4"/>
    <w:rsid w:val="00B44032"/>
    <w:rsid w:val="00BD47CE"/>
    <w:rsid w:val="00C66940"/>
    <w:rsid w:val="00C972C1"/>
    <w:rsid w:val="00CD060F"/>
    <w:rsid w:val="00EE4E61"/>
    <w:rsid w:val="00F4184D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4AD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54AD"/>
    <w:pPr>
      <w:tabs>
        <w:tab w:val="center" w:pos="4153"/>
        <w:tab w:val="right" w:pos="8306"/>
      </w:tabs>
    </w:pPr>
    <w:rPr>
      <w:color w:val="auto"/>
    </w:rPr>
  </w:style>
  <w:style w:type="paragraph" w:styleId="Footer">
    <w:name w:val="footer"/>
    <w:basedOn w:val="Normal"/>
    <w:rsid w:val="002054AD"/>
    <w:pPr>
      <w:tabs>
        <w:tab w:val="center" w:pos="4153"/>
        <w:tab w:val="right" w:pos="8306"/>
      </w:tabs>
    </w:pPr>
  </w:style>
  <w:style w:type="paragraph" w:customStyle="1" w:styleId="PortfolioBullet">
    <w:name w:val="Portfolio_Bullet"/>
    <w:basedOn w:val="Normal"/>
    <w:rsid w:val="002054AD"/>
    <w:pPr>
      <w:keepLines/>
      <w:numPr>
        <w:numId w:val="1"/>
      </w:numPr>
      <w:spacing w:after="240"/>
      <w:jc w:val="both"/>
    </w:pPr>
    <w:rPr>
      <w:rFonts w:ascii="Arial" w:hAnsi="Arial"/>
      <w:color w:val="auto"/>
      <w:sz w:val="22"/>
      <w:lang w:eastAsia="en-US"/>
    </w:rPr>
  </w:style>
  <w:style w:type="paragraph" w:customStyle="1" w:styleId="PortfolioBullet2">
    <w:name w:val="Portfolio_Bullet2"/>
    <w:basedOn w:val="Normal"/>
    <w:rsid w:val="002054AD"/>
    <w:pPr>
      <w:keepLines/>
      <w:numPr>
        <w:ilvl w:val="1"/>
        <w:numId w:val="1"/>
      </w:numPr>
      <w:spacing w:after="240"/>
      <w:jc w:val="both"/>
    </w:pPr>
    <w:rPr>
      <w:rFonts w:ascii="Arial" w:hAnsi="Arial"/>
      <w:color w:val="auto"/>
      <w:sz w:val="22"/>
      <w:lang w:eastAsia="en-US"/>
    </w:rPr>
  </w:style>
  <w:style w:type="paragraph" w:customStyle="1" w:styleId="PortfolioBullet3">
    <w:name w:val="Portfolio_Bullet3"/>
    <w:basedOn w:val="Normal"/>
    <w:rsid w:val="002054AD"/>
    <w:pPr>
      <w:keepLines/>
      <w:numPr>
        <w:ilvl w:val="2"/>
        <w:numId w:val="1"/>
      </w:numPr>
      <w:spacing w:after="240"/>
      <w:jc w:val="both"/>
    </w:pPr>
    <w:rPr>
      <w:rFonts w:ascii="Arial" w:hAnsi="Arial"/>
      <w:color w:val="auto"/>
      <w:sz w:val="22"/>
      <w:lang w:eastAsia="en-US"/>
    </w:rPr>
  </w:style>
  <w:style w:type="paragraph" w:styleId="BalloonText">
    <w:name w:val="Balloon Text"/>
    <w:basedOn w:val="Normal"/>
    <w:link w:val="BalloonTextChar"/>
    <w:rsid w:val="002A5890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5890"/>
    <w:rPr>
      <w:rFonts w:ascii="Arial" w:hAnsi="Arial" w:cs="Arial"/>
      <w:color w:val="000000"/>
      <w:sz w:val="16"/>
      <w:szCs w:val="16"/>
    </w:rPr>
  </w:style>
  <w:style w:type="character" w:styleId="Hyperlink">
    <w:name w:val="Hyperlink"/>
    <w:basedOn w:val="DefaultParagraphFont"/>
    <w:rsid w:val="000B76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Townsville%20Futures%20Pla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2208</Characters>
  <Application>Microsoft Office Word</Application>
  <DocSecurity>0</DocSecurity>
  <Lines>37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2583</CharactersWithSpaces>
  <SharedDoc>false</SharedDoc>
  <HyperlinkBase>https://www.cabinet.qld.gov.au/documents/2011/Apr/Draft Townsville Futures Plan/</HyperlinkBase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Attachments/Townsville Futures Plan.pdf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planning,regional_development</cp:keywords>
  <cp:lastModifiedBy/>
  <cp:revision>2</cp:revision>
  <cp:lastPrinted>2011-09-09T01:14:00Z</cp:lastPrinted>
  <dcterms:created xsi:type="dcterms:W3CDTF">2017-10-24T23:04:00Z</dcterms:created>
  <dcterms:modified xsi:type="dcterms:W3CDTF">2018-03-06T01:06:00Z</dcterms:modified>
  <cp:category>Planning,Regional_Development</cp:category>
</cp:coreProperties>
</file>